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31F5" w:rsidRPr="00D54B58" w:rsidRDefault="005A31F5">
      <w:pPr>
        <w:jc w:val="center"/>
        <w:rPr>
          <w:rFonts w:ascii="Century Gothic" w:hAnsi="Century Gothic"/>
          <w:b/>
          <w:sz w:val="28"/>
          <w:u w:val="single"/>
        </w:rPr>
      </w:pPr>
      <w:bookmarkStart w:id="0" w:name="_GoBack"/>
      <w:bookmarkEnd w:id="0"/>
      <w:r w:rsidRPr="00D54B58">
        <w:rPr>
          <w:rFonts w:ascii="Century Gothic" w:hAnsi="Century Gothic"/>
          <w:b/>
          <w:sz w:val="28"/>
          <w:u w:val="single"/>
        </w:rPr>
        <w:t>MEMORANDUM</w:t>
      </w:r>
    </w:p>
    <w:p w:rsidR="005A31F5" w:rsidRPr="00D54B58" w:rsidRDefault="005A31F5">
      <w:pPr>
        <w:tabs>
          <w:tab w:val="left" w:pos="720"/>
        </w:tabs>
        <w:rPr>
          <w:rFonts w:ascii="Century Gothic" w:hAnsi="Century Gothic"/>
          <w:b/>
          <w:sz w:val="24"/>
        </w:rPr>
      </w:pPr>
    </w:p>
    <w:p w:rsidR="005A31F5" w:rsidRPr="00D54B58" w:rsidRDefault="005A31F5">
      <w:pPr>
        <w:tabs>
          <w:tab w:val="left" w:pos="2880"/>
          <w:tab w:val="left" w:pos="5760"/>
          <w:tab w:val="left" w:pos="7200"/>
        </w:tabs>
        <w:ind w:left="720"/>
        <w:rPr>
          <w:rFonts w:ascii="Century Gothic" w:hAnsi="Century Gothic"/>
          <w:b/>
          <w:sz w:val="24"/>
        </w:rPr>
      </w:pPr>
    </w:p>
    <w:p w:rsidR="005A31F5" w:rsidRPr="00D54B58" w:rsidRDefault="005A31F5">
      <w:pPr>
        <w:tabs>
          <w:tab w:val="left" w:pos="1440"/>
        </w:tabs>
        <w:rPr>
          <w:rFonts w:ascii="Century Gothic" w:hAnsi="Century Gothic"/>
          <w:b/>
          <w:sz w:val="24"/>
        </w:rPr>
      </w:pPr>
      <w:r w:rsidRPr="00D54B58">
        <w:rPr>
          <w:rFonts w:ascii="Century Gothic" w:hAnsi="Century Gothic"/>
          <w:b/>
          <w:sz w:val="24"/>
        </w:rPr>
        <w:t>To:</w:t>
      </w:r>
      <w:r w:rsidR="008D02EF">
        <w:rPr>
          <w:rFonts w:ascii="Century Gothic" w:hAnsi="Century Gothic"/>
          <w:b/>
          <w:sz w:val="24"/>
        </w:rPr>
        <w:t xml:space="preserve"> </w:t>
      </w:r>
      <w:r w:rsidR="00BF1F83">
        <w:rPr>
          <w:rFonts w:ascii="Century Gothic" w:hAnsi="Century Gothic"/>
          <w:b/>
          <w:sz w:val="24"/>
        </w:rPr>
        <w:tab/>
      </w:r>
      <w:r w:rsidR="000B6742">
        <w:rPr>
          <w:rFonts w:ascii="Century Gothic" w:hAnsi="Century Gothic"/>
          <w:b/>
          <w:sz w:val="24"/>
        </w:rPr>
        <w:t>Professor G</w:t>
      </w:r>
    </w:p>
    <w:p w:rsidR="005A31F5" w:rsidRPr="00D54B58" w:rsidRDefault="005A31F5">
      <w:pPr>
        <w:tabs>
          <w:tab w:val="left" w:pos="1440"/>
        </w:tabs>
        <w:rPr>
          <w:rFonts w:ascii="Century Gothic" w:hAnsi="Century Gothic"/>
          <w:b/>
          <w:sz w:val="24"/>
        </w:rPr>
      </w:pPr>
    </w:p>
    <w:p w:rsidR="005A31F5" w:rsidRPr="00D54B58" w:rsidRDefault="005A31F5">
      <w:pPr>
        <w:tabs>
          <w:tab w:val="left" w:pos="1440"/>
        </w:tabs>
        <w:rPr>
          <w:rFonts w:ascii="Century Gothic" w:hAnsi="Century Gothic"/>
          <w:b/>
          <w:sz w:val="24"/>
        </w:rPr>
      </w:pPr>
      <w:r w:rsidRPr="00D54B58">
        <w:rPr>
          <w:rFonts w:ascii="Century Gothic" w:hAnsi="Century Gothic"/>
          <w:b/>
          <w:sz w:val="24"/>
        </w:rPr>
        <w:t>From:</w:t>
      </w:r>
      <w:r w:rsidRPr="00D54B58">
        <w:rPr>
          <w:rFonts w:ascii="Century Gothic" w:hAnsi="Century Gothic"/>
          <w:b/>
          <w:sz w:val="24"/>
        </w:rPr>
        <w:tab/>
      </w:r>
      <w:r w:rsidR="000B6742">
        <w:rPr>
          <w:rFonts w:ascii="Century Gothic" w:hAnsi="Century Gothic"/>
          <w:b/>
          <w:sz w:val="24"/>
        </w:rPr>
        <w:t>UT Student</w:t>
      </w:r>
    </w:p>
    <w:p w:rsidR="005A31F5" w:rsidRPr="00D54B58" w:rsidRDefault="005A31F5">
      <w:pPr>
        <w:rPr>
          <w:rFonts w:ascii="Century Gothic" w:hAnsi="Century Gothic"/>
          <w:b/>
          <w:sz w:val="24"/>
        </w:rPr>
      </w:pPr>
    </w:p>
    <w:p w:rsidR="005A31F5" w:rsidRPr="00D54B58" w:rsidRDefault="005A31F5">
      <w:pPr>
        <w:pStyle w:val="Heading1"/>
        <w:tabs>
          <w:tab w:val="clear" w:pos="2880"/>
          <w:tab w:val="left" w:pos="1440"/>
        </w:tabs>
        <w:ind w:left="0"/>
        <w:rPr>
          <w:rFonts w:ascii="Century Gothic" w:hAnsi="Century Gothic"/>
          <w:sz w:val="24"/>
        </w:rPr>
      </w:pPr>
      <w:r w:rsidRPr="00D54B58">
        <w:rPr>
          <w:rFonts w:ascii="Century Gothic" w:hAnsi="Century Gothic"/>
          <w:sz w:val="24"/>
        </w:rPr>
        <w:t>Date:</w:t>
      </w:r>
      <w:r w:rsidRPr="00D54B58">
        <w:rPr>
          <w:rFonts w:ascii="Century Gothic" w:hAnsi="Century Gothic"/>
          <w:sz w:val="24"/>
        </w:rPr>
        <w:tab/>
      </w:r>
      <w:r w:rsidRPr="00D54B58">
        <w:rPr>
          <w:rFonts w:ascii="Century Gothic" w:hAnsi="Century Gothic"/>
          <w:sz w:val="24"/>
        </w:rPr>
        <w:fldChar w:fldCharType="begin"/>
      </w:r>
      <w:r w:rsidRPr="00D54B58">
        <w:rPr>
          <w:rFonts w:ascii="Century Gothic" w:hAnsi="Century Gothic"/>
          <w:sz w:val="24"/>
        </w:rPr>
        <w:instrText xml:space="preserve"> TIME \@ "dddd, MMMM dd, yyyy" </w:instrText>
      </w:r>
      <w:r w:rsidRPr="00D54B58">
        <w:rPr>
          <w:rFonts w:ascii="Century Gothic" w:hAnsi="Century Gothic"/>
          <w:sz w:val="24"/>
        </w:rPr>
        <w:fldChar w:fldCharType="separate"/>
      </w:r>
      <w:r w:rsidR="00CB497F">
        <w:rPr>
          <w:rFonts w:ascii="Century Gothic" w:hAnsi="Century Gothic"/>
          <w:noProof/>
          <w:sz w:val="24"/>
        </w:rPr>
        <w:t>Wednesday, May 01, 2019</w:t>
      </w:r>
      <w:r w:rsidRPr="00D54B58">
        <w:rPr>
          <w:rFonts w:ascii="Century Gothic" w:hAnsi="Century Gothic"/>
          <w:sz w:val="24"/>
        </w:rPr>
        <w:fldChar w:fldCharType="end"/>
      </w:r>
    </w:p>
    <w:p w:rsidR="005A31F5" w:rsidRPr="00D54B58" w:rsidRDefault="005A31F5">
      <w:pPr>
        <w:tabs>
          <w:tab w:val="left" w:pos="2880"/>
        </w:tabs>
        <w:rPr>
          <w:rFonts w:ascii="Century Gothic" w:hAnsi="Century Gothic"/>
          <w:b/>
          <w:sz w:val="24"/>
        </w:rPr>
      </w:pPr>
    </w:p>
    <w:p w:rsidR="005A31F5" w:rsidRPr="00D54B58" w:rsidRDefault="005A31F5">
      <w:pPr>
        <w:tabs>
          <w:tab w:val="left" w:pos="1440"/>
        </w:tabs>
        <w:rPr>
          <w:rFonts w:ascii="Century Gothic" w:hAnsi="Century Gothic"/>
          <w:b/>
          <w:sz w:val="24"/>
        </w:rPr>
      </w:pPr>
      <w:r w:rsidRPr="00D54B58">
        <w:rPr>
          <w:rFonts w:ascii="Century Gothic" w:hAnsi="Century Gothic"/>
          <w:b/>
          <w:sz w:val="24"/>
        </w:rPr>
        <w:t>RE:</w:t>
      </w:r>
      <w:r w:rsidRPr="00D54B58">
        <w:rPr>
          <w:rFonts w:ascii="Century Gothic" w:hAnsi="Century Gothic"/>
          <w:b/>
          <w:sz w:val="24"/>
        </w:rPr>
        <w:tab/>
      </w:r>
      <w:r w:rsidR="00B500FB">
        <w:rPr>
          <w:rFonts w:ascii="Century Gothic" w:hAnsi="Century Gothic"/>
          <w:b/>
          <w:noProof/>
          <w:sz w:val="24"/>
        </w:rPr>
        <mc:AlternateContent>
          <mc:Choice Requires="wps">
            <w:drawing>
              <wp:anchor distT="0" distB="0" distL="114300" distR="114300" simplePos="0" relativeHeight="251657728" behindDoc="0" locked="1" layoutInCell="1" allowOverlap="1">
                <wp:simplePos x="0" y="0"/>
                <wp:positionH relativeFrom="page">
                  <wp:posOffset>965835</wp:posOffset>
                </wp:positionH>
                <wp:positionV relativeFrom="page">
                  <wp:posOffset>3202940</wp:posOffset>
                </wp:positionV>
                <wp:extent cx="5852160"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1BD72A" id="Line 4" o:spid="_x0000_s1026" style="position:absolute;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6.05pt,252.2pt" to="536.85pt,25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TI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">
                <w10:wrap anchorx="page" anchory="page"/>
                <w10:anchorlock/>
              </v:line>
            </w:pict>
          </mc:Fallback>
        </mc:AlternateContent>
      </w:r>
      <w:r w:rsidR="000B6742">
        <w:rPr>
          <w:rFonts w:ascii="Century Gothic" w:hAnsi="Century Gothic"/>
          <w:b/>
          <w:sz w:val="24"/>
        </w:rPr>
        <w:t>FASB</w:t>
      </w:r>
    </w:p>
    <w:p w:rsidR="005A31F5" w:rsidRDefault="005A31F5">
      <w:pPr>
        <w:tabs>
          <w:tab w:val="left" w:pos="1440"/>
        </w:tabs>
        <w:jc w:val="both"/>
        <w:rPr>
          <w:rFonts w:ascii="Century Gothic" w:hAnsi="Century Gothic"/>
          <w:b/>
          <w:sz w:val="24"/>
        </w:rPr>
      </w:pPr>
    </w:p>
    <w:p w:rsidR="00F4331B" w:rsidRDefault="00F4331B">
      <w:pPr>
        <w:tabs>
          <w:tab w:val="left" w:pos="1440"/>
        </w:tabs>
        <w:jc w:val="both"/>
        <w:rPr>
          <w:rFonts w:ascii="Century Gothic" w:hAnsi="Century Gothic"/>
          <w:b/>
          <w:sz w:val="24"/>
        </w:rPr>
      </w:pPr>
    </w:p>
    <w:p w:rsidR="000B6742" w:rsidRDefault="000B6742">
      <w:pPr>
        <w:tabs>
          <w:tab w:val="left" w:pos="1440"/>
        </w:tabs>
        <w:jc w:val="both"/>
        <w:rPr>
          <w:rFonts w:ascii="Century Gothic" w:hAnsi="Century Gothic"/>
          <w:b/>
          <w:sz w:val="24"/>
        </w:rPr>
      </w:pPr>
    </w:p>
    <w:p w:rsidR="00F4331B" w:rsidRPr="005369BD" w:rsidRDefault="00F4331B">
      <w:pPr>
        <w:tabs>
          <w:tab w:val="left" w:pos="1440"/>
        </w:tabs>
        <w:jc w:val="both"/>
        <w:rPr>
          <w:rFonts w:ascii="Arial" w:hAnsi="Arial" w:cs="Arial"/>
          <w:b/>
        </w:rPr>
      </w:pPr>
      <w:r w:rsidRPr="000B6742">
        <w:rPr>
          <w:rFonts w:ascii="Arial" w:hAnsi="Arial" w:cs="Arial"/>
          <w:b/>
          <w:u w:val="single"/>
        </w:rPr>
        <w:t>Background</w:t>
      </w:r>
      <w:r w:rsidRPr="005369BD">
        <w:rPr>
          <w:rFonts w:ascii="Arial" w:hAnsi="Arial" w:cs="Arial"/>
          <w:b/>
        </w:rPr>
        <w:t xml:space="preserve">:  </w:t>
      </w:r>
      <w:r w:rsidR="00FC236E" w:rsidRPr="005369BD">
        <w:rPr>
          <w:rFonts w:ascii="Arial" w:hAnsi="Arial" w:cs="Arial"/>
        </w:rPr>
        <w:t>Taxpayer is a</w:t>
      </w:r>
      <w:r w:rsidR="009067C0" w:rsidRPr="005369BD">
        <w:rPr>
          <w:rFonts w:ascii="Arial" w:hAnsi="Arial" w:cs="Arial"/>
        </w:rPr>
        <w:t>n individual that receives General Business Tax Credits flowing through from investments in S-Corporation business interests</w:t>
      </w:r>
      <w:r w:rsidR="00260AE2" w:rsidRPr="005369BD">
        <w:rPr>
          <w:rFonts w:ascii="Arial" w:hAnsi="Arial" w:cs="Arial"/>
        </w:rPr>
        <w:t xml:space="preserve"> via form K-1 and onto the taxpayers Form 3800 which is attached to their Form 1040. </w:t>
      </w:r>
    </w:p>
    <w:p w:rsidR="00167731" w:rsidRPr="005369BD" w:rsidRDefault="00167731">
      <w:pPr>
        <w:tabs>
          <w:tab w:val="left" w:pos="1440"/>
        </w:tabs>
        <w:jc w:val="both"/>
        <w:rPr>
          <w:rFonts w:ascii="Arial" w:hAnsi="Arial" w:cs="Arial"/>
          <w:b/>
        </w:rPr>
      </w:pPr>
    </w:p>
    <w:p w:rsidR="00F4331B" w:rsidRPr="005369BD" w:rsidRDefault="00F4331B">
      <w:pPr>
        <w:tabs>
          <w:tab w:val="left" w:pos="1440"/>
        </w:tabs>
        <w:jc w:val="both"/>
        <w:rPr>
          <w:rFonts w:ascii="Arial" w:hAnsi="Arial" w:cs="Arial"/>
          <w:b/>
        </w:rPr>
      </w:pPr>
      <w:r w:rsidRPr="000B6742">
        <w:rPr>
          <w:rFonts w:ascii="Arial" w:hAnsi="Arial" w:cs="Arial"/>
          <w:b/>
          <w:u w:val="single"/>
        </w:rPr>
        <w:t>Issue</w:t>
      </w:r>
      <w:r w:rsidR="00864941" w:rsidRPr="005369BD">
        <w:rPr>
          <w:rFonts w:ascii="Arial" w:hAnsi="Arial" w:cs="Arial"/>
          <w:b/>
        </w:rPr>
        <w:t>:</w:t>
      </w:r>
      <w:r w:rsidR="00864941" w:rsidRPr="005369BD">
        <w:rPr>
          <w:rFonts w:ascii="Arial" w:hAnsi="Arial" w:cs="Arial"/>
        </w:rPr>
        <w:t xml:space="preserve"> </w:t>
      </w:r>
      <w:r w:rsidR="009067C0" w:rsidRPr="005369BD">
        <w:rPr>
          <w:rFonts w:ascii="Arial" w:hAnsi="Arial" w:cs="Arial"/>
        </w:rPr>
        <w:t>Understanding the utilization and carryforward rules of General Business Credits</w:t>
      </w:r>
    </w:p>
    <w:p w:rsidR="00167731" w:rsidRPr="005369BD" w:rsidRDefault="00167731">
      <w:pPr>
        <w:tabs>
          <w:tab w:val="left" w:pos="1440"/>
        </w:tabs>
        <w:jc w:val="both"/>
        <w:rPr>
          <w:rFonts w:ascii="Arial" w:hAnsi="Arial" w:cs="Arial"/>
          <w:b/>
        </w:rPr>
      </w:pPr>
    </w:p>
    <w:p w:rsidR="00FC236E" w:rsidRDefault="003A22CA">
      <w:pPr>
        <w:tabs>
          <w:tab w:val="left" w:pos="1440"/>
        </w:tabs>
        <w:jc w:val="both"/>
        <w:rPr>
          <w:rFonts w:ascii="Arial" w:hAnsi="Arial" w:cs="Arial"/>
        </w:rPr>
      </w:pPr>
      <w:r w:rsidRPr="000B6742">
        <w:rPr>
          <w:rFonts w:ascii="Arial" w:hAnsi="Arial" w:cs="Arial"/>
          <w:b/>
          <w:u w:val="single"/>
        </w:rPr>
        <w:t>Discussion</w:t>
      </w:r>
      <w:r w:rsidR="00E72A51" w:rsidRPr="005369BD">
        <w:rPr>
          <w:rFonts w:ascii="Arial" w:hAnsi="Arial" w:cs="Arial"/>
          <w:b/>
        </w:rPr>
        <w:t xml:space="preserve">: </w:t>
      </w:r>
      <w:r w:rsidR="00260AE2" w:rsidRPr="005369BD">
        <w:rPr>
          <w:rFonts w:ascii="Arial" w:hAnsi="Arial" w:cs="Arial"/>
        </w:rPr>
        <w:t>There are many different General Business Tax Credits available. The two that are applicable to the above referenced taxpayers are 1) the Work Opportunity Credit and 2) the Empowerment Zone Credit.</w:t>
      </w:r>
    </w:p>
    <w:p w:rsidR="003F3CDC" w:rsidRDefault="003F3CDC">
      <w:pPr>
        <w:tabs>
          <w:tab w:val="left" w:pos="1440"/>
        </w:tabs>
        <w:jc w:val="both"/>
        <w:rPr>
          <w:rFonts w:ascii="Arial" w:hAnsi="Arial" w:cs="Arial"/>
        </w:rPr>
      </w:pPr>
    </w:p>
    <w:p w:rsidR="003F3CDC" w:rsidRDefault="003F3CDC" w:rsidP="003F3CDC">
      <w:pPr>
        <w:tabs>
          <w:tab w:val="left" w:pos="1440"/>
        </w:tabs>
        <w:jc w:val="both"/>
        <w:rPr>
          <w:rFonts w:ascii="Arial" w:hAnsi="Arial" w:cs="Arial"/>
        </w:rPr>
      </w:pPr>
      <w:r w:rsidRPr="00C90722">
        <w:rPr>
          <w:rFonts w:ascii="Arial" w:hAnsi="Arial" w:cs="Arial"/>
        </w:rPr>
        <w:t xml:space="preserve">For </w:t>
      </w:r>
      <w:r>
        <w:rPr>
          <w:rFonts w:ascii="Arial" w:hAnsi="Arial" w:cs="Arial"/>
        </w:rPr>
        <w:t xml:space="preserve">2014 the taxpayer had a carryover of a Work Opportunity </w:t>
      </w:r>
      <w:r w:rsidR="00DF675C">
        <w:rPr>
          <w:rFonts w:ascii="Arial" w:hAnsi="Arial" w:cs="Arial"/>
        </w:rPr>
        <w:t>C</w:t>
      </w:r>
      <w:r>
        <w:rPr>
          <w:rFonts w:ascii="Arial" w:hAnsi="Arial" w:cs="Arial"/>
        </w:rPr>
        <w:t xml:space="preserve">redit from </w:t>
      </w:r>
      <w:r w:rsidRPr="00E946EE">
        <w:rPr>
          <w:rFonts w:ascii="Arial" w:hAnsi="Arial" w:cs="Arial"/>
          <w:b/>
          <w:u w:val="single"/>
        </w:rPr>
        <w:t xml:space="preserve">2013 </w:t>
      </w:r>
      <w:r>
        <w:rPr>
          <w:rFonts w:ascii="Arial" w:hAnsi="Arial" w:cs="Arial"/>
          <w:b/>
          <w:u w:val="single"/>
        </w:rPr>
        <w:t xml:space="preserve">for </w:t>
      </w:r>
      <w:r w:rsidRPr="00E946EE">
        <w:rPr>
          <w:rFonts w:ascii="Arial" w:hAnsi="Arial" w:cs="Arial"/>
          <w:b/>
          <w:u w:val="single"/>
        </w:rPr>
        <w:t>$77,887</w:t>
      </w:r>
      <w:r>
        <w:rPr>
          <w:rFonts w:ascii="Arial" w:hAnsi="Arial" w:cs="Arial"/>
        </w:rPr>
        <w:t xml:space="preserve">, and current year 2014 credits for both </w:t>
      </w:r>
      <w:r w:rsidRPr="00E946EE">
        <w:rPr>
          <w:rFonts w:ascii="Arial" w:hAnsi="Arial" w:cs="Arial"/>
          <w:b/>
          <w:u w:val="single"/>
        </w:rPr>
        <w:t xml:space="preserve">Work Opportunity </w:t>
      </w:r>
      <w:r w:rsidR="009B7F9A">
        <w:rPr>
          <w:rFonts w:ascii="Arial" w:hAnsi="Arial" w:cs="Arial"/>
          <w:b/>
          <w:u w:val="single"/>
        </w:rPr>
        <w:t xml:space="preserve">for </w:t>
      </w:r>
      <w:r w:rsidRPr="00E946EE">
        <w:rPr>
          <w:rFonts w:ascii="Arial" w:hAnsi="Arial" w:cs="Arial"/>
          <w:b/>
          <w:u w:val="single"/>
        </w:rPr>
        <w:t>$268,695</w:t>
      </w:r>
      <w:r>
        <w:rPr>
          <w:rFonts w:ascii="Arial" w:hAnsi="Arial" w:cs="Arial"/>
        </w:rPr>
        <w:t xml:space="preserve"> and </w:t>
      </w:r>
      <w:r w:rsidRPr="00E946EE">
        <w:rPr>
          <w:rFonts w:ascii="Arial" w:hAnsi="Arial" w:cs="Arial"/>
          <w:b/>
          <w:u w:val="single"/>
        </w:rPr>
        <w:t xml:space="preserve">Empowerment Zone </w:t>
      </w:r>
      <w:r w:rsidR="009B7F9A">
        <w:rPr>
          <w:rFonts w:ascii="Arial" w:hAnsi="Arial" w:cs="Arial"/>
          <w:b/>
          <w:u w:val="single"/>
        </w:rPr>
        <w:t xml:space="preserve">for </w:t>
      </w:r>
      <w:r w:rsidRPr="00E946EE">
        <w:rPr>
          <w:rFonts w:ascii="Arial" w:hAnsi="Arial" w:cs="Arial"/>
          <w:b/>
          <w:u w:val="single"/>
        </w:rPr>
        <w:t>$124,393</w:t>
      </w:r>
      <w:r>
        <w:rPr>
          <w:rFonts w:ascii="Arial" w:hAnsi="Arial" w:cs="Arial"/>
        </w:rPr>
        <w:t>.</w:t>
      </w:r>
    </w:p>
    <w:p w:rsidR="003F3CDC" w:rsidRPr="005369BD" w:rsidRDefault="003F3CDC">
      <w:pPr>
        <w:tabs>
          <w:tab w:val="left" w:pos="1440"/>
        </w:tabs>
        <w:jc w:val="both"/>
        <w:rPr>
          <w:rFonts w:ascii="Arial" w:hAnsi="Arial" w:cs="Arial"/>
        </w:rPr>
      </w:pPr>
    </w:p>
    <w:p w:rsidR="003F3CDC" w:rsidRDefault="003F3CDC" w:rsidP="003F3CDC">
      <w:pPr>
        <w:tabs>
          <w:tab w:val="left" w:pos="1440"/>
        </w:tabs>
        <w:jc w:val="both"/>
        <w:rPr>
          <w:rFonts w:ascii="Arial" w:hAnsi="Arial" w:cs="Arial"/>
        </w:rPr>
      </w:pPr>
      <w:r>
        <w:rPr>
          <w:rFonts w:ascii="Arial" w:hAnsi="Arial" w:cs="Arial"/>
        </w:rPr>
        <w:t xml:space="preserve">For 2014 the </w:t>
      </w:r>
      <w:r w:rsidR="00FA5107">
        <w:rPr>
          <w:rFonts w:ascii="Arial" w:hAnsi="Arial" w:cs="Arial"/>
        </w:rPr>
        <w:t xml:space="preserve">taxpayer had a </w:t>
      </w:r>
      <w:r>
        <w:rPr>
          <w:rFonts w:ascii="Arial" w:hAnsi="Arial" w:cs="Arial"/>
        </w:rPr>
        <w:t xml:space="preserve">total </w:t>
      </w:r>
      <w:r w:rsidR="0027451F">
        <w:rPr>
          <w:rFonts w:ascii="Arial" w:hAnsi="Arial" w:cs="Arial"/>
        </w:rPr>
        <w:t>tax of $147,973 consisting of</w:t>
      </w:r>
      <w:r>
        <w:rPr>
          <w:rFonts w:ascii="Arial" w:hAnsi="Arial" w:cs="Arial"/>
        </w:rPr>
        <w:t xml:space="preserve"> </w:t>
      </w:r>
      <w:r w:rsidRPr="00F41962">
        <w:rPr>
          <w:rFonts w:ascii="Arial" w:hAnsi="Arial" w:cs="Arial"/>
          <w:b/>
          <w:u w:val="single"/>
        </w:rPr>
        <w:t>regular tax of $127,865</w:t>
      </w:r>
      <w:r>
        <w:rPr>
          <w:rFonts w:ascii="Arial" w:hAnsi="Arial" w:cs="Arial"/>
        </w:rPr>
        <w:t xml:space="preserve"> and </w:t>
      </w:r>
      <w:r w:rsidRPr="00F41962">
        <w:rPr>
          <w:rFonts w:ascii="Arial" w:hAnsi="Arial" w:cs="Arial"/>
          <w:b/>
          <w:u w:val="single"/>
        </w:rPr>
        <w:t xml:space="preserve">AMT tax </w:t>
      </w:r>
      <w:r>
        <w:rPr>
          <w:rFonts w:ascii="Arial" w:hAnsi="Arial" w:cs="Arial"/>
          <w:b/>
          <w:u w:val="single"/>
        </w:rPr>
        <w:t xml:space="preserve">of </w:t>
      </w:r>
      <w:r w:rsidRPr="00F41962">
        <w:rPr>
          <w:rFonts w:ascii="Arial" w:hAnsi="Arial" w:cs="Arial"/>
          <w:b/>
          <w:u w:val="single"/>
        </w:rPr>
        <w:t>$20,108</w:t>
      </w:r>
      <w:r w:rsidR="0027451F">
        <w:rPr>
          <w:rFonts w:ascii="Arial" w:hAnsi="Arial" w:cs="Arial"/>
        </w:rPr>
        <w:t>.</w:t>
      </w:r>
    </w:p>
    <w:p w:rsidR="003F3CDC" w:rsidRDefault="003F3CDC" w:rsidP="003F3CDC">
      <w:pPr>
        <w:tabs>
          <w:tab w:val="left" w:pos="1440"/>
        </w:tabs>
        <w:jc w:val="both"/>
        <w:rPr>
          <w:rFonts w:ascii="Arial" w:hAnsi="Arial" w:cs="Arial"/>
        </w:rPr>
      </w:pPr>
    </w:p>
    <w:p w:rsidR="00260AE2" w:rsidRPr="005369BD" w:rsidRDefault="00260AE2">
      <w:pPr>
        <w:tabs>
          <w:tab w:val="left" w:pos="1440"/>
        </w:tabs>
        <w:jc w:val="both"/>
        <w:rPr>
          <w:rFonts w:ascii="Arial" w:hAnsi="Arial" w:cs="Arial"/>
          <w:b/>
        </w:rPr>
      </w:pPr>
      <w:r w:rsidRPr="005369BD">
        <w:rPr>
          <w:rFonts w:ascii="Arial" w:hAnsi="Arial" w:cs="Arial"/>
        </w:rPr>
        <w:t xml:space="preserve">There are </w:t>
      </w:r>
      <w:r w:rsidR="00C60DD7">
        <w:rPr>
          <w:rFonts w:ascii="Arial" w:hAnsi="Arial" w:cs="Arial"/>
        </w:rPr>
        <w:t>four</w:t>
      </w:r>
      <w:r w:rsidR="00A42C9B">
        <w:rPr>
          <w:rFonts w:ascii="Arial" w:hAnsi="Arial" w:cs="Arial"/>
        </w:rPr>
        <w:t xml:space="preserve"> </w:t>
      </w:r>
      <w:r w:rsidRPr="005369BD">
        <w:rPr>
          <w:rFonts w:ascii="Arial" w:hAnsi="Arial" w:cs="Arial"/>
        </w:rPr>
        <w:t xml:space="preserve">considerations when determining the amount of </w:t>
      </w:r>
      <w:r w:rsidR="00A3660C">
        <w:rPr>
          <w:rFonts w:ascii="Arial" w:hAnsi="Arial" w:cs="Arial"/>
        </w:rPr>
        <w:t>General Business T</w:t>
      </w:r>
      <w:r w:rsidRPr="005369BD">
        <w:rPr>
          <w:rFonts w:ascii="Arial" w:hAnsi="Arial" w:cs="Arial"/>
        </w:rPr>
        <w:t xml:space="preserve">ax </w:t>
      </w:r>
      <w:r w:rsidR="00A3660C">
        <w:rPr>
          <w:rFonts w:ascii="Arial" w:hAnsi="Arial" w:cs="Arial"/>
        </w:rPr>
        <w:t>C</w:t>
      </w:r>
      <w:r w:rsidRPr="005369BD">
        <w:rPr>
          <w:rFonts w:ascii="Arial" w:hAnsi="Arial" w:cs="Arial"/>
        </w:rPr>
        <w:t>redit that can be taken on a given tax return.</w:t>
      </w:r>
    </w:p>
    <w:p w:rsidR="007B3149" w:rsidRPr="000C46B5" w:rsidRDefault="007B3149" w:rsidP="005369BD">
      <w:pPr>
        <w:pStyle w:val="ListParagraph"/>
        <w:numPr>
          <w:ilvl w:val="0"/>
          <w:numId w:val="1"/>
        </w:numPr>
        <w:tabs>
          <w:tab w:val="left" w:pos="1440"/>
        </w:tabs>
        <w:jc w:val="both"/>
        <w:rPr>
          <w:rFonts w:ascii="Arial" w:hAnsi="Arial" w:cs="Arial"/>
          <w:b/>
        </w:rPr>
      </w:pPr>
      <w:r w:rsidRPr="005369BD">
        <w:rPr>
          <w:rFonts w:ascii="Arial" w:hAnsi="Arial" w:cs="Arial"/>
          <w:b/>
        </w:rPr>
        <w:t>The ordering</w:t>
      </w:r>
      <w:r>
        <w:rPr>
          <w:rFonts w:ascii="Arial" w:hAnsi="Arial" w:cs="Arial"/>
          <w:b/>
        </w:rPr>
        <w:t xml:space="preserve"> rules</w:t>
      </w:r>
      <w:r w:rsidRPr="005369BD">
        <w:rPr>
          <w:rFonts w:ascii="Arial" w:hAnsi="Arial" w:cs="Arial"/>
          <w:b/>
        </w:rPr>
        <w:t xml:space="preserve"> when there are </w:t>
      </w:r>
      <w:r w:rsidR="004665EE">
        <w:rPr>
          <w:rFonts w:ascii="Arial" w:hAnsi="Arial" w:cs="Arial"/>
          <w:b/>
        </w:rPr>
        <w:t xml:space="preserve">different </w:t>
      </w:r>
      <w:r>
        <w:rPr>
          <w:rFonts w:ascii="Arial" w:hAnsi="Arial" w:cs="Arial"/>
          <w:b/>
        </w:rPr>
        <w:t xml:space="preserve">business </w:t>
      </w:r>
      <w:r w:rsidRPr="005369BD">
        <w:rPr>
          <w:rFonts w:ascii="Arial" w:hAnsi="Arial" w:cs="Arial"/>
          <w:b/>
        </w:rPr>
        <w:t>credits in the same year</w:t>
      </w:r>
      <w:r w:rsidR="000C46B5">
        <w:rPr>
          <w:rFonts w:ascii="Arial" w:hAnsi="Arial" w:cs="Arial"/>
          <w:b/>
        </w:rPr>
        <w:t xml:space="preserve"> - </w:t>
      </w:r>
      <w:r w:rsidR="000C46B5" w:rsidRPr="00931A0C">
        <w:rPr>
          <w:rFonts w:ascii="Arial" w:hAnsi="Arial" w:cs="Arial"/>
        </w:rPr>
        <w:t>According to the credit utilization ordering rules, Work Opportunity Credit</w:t>
      </w:r>
      <w:r w:rsidR="000C46B5">
        <w:rPr>
          <w:rFonts w:ascii="Arial" w:hAnsi="Arial" w:cs="Arial"/>
        </w:rPr>
        <w:t>s</w:t>
      </w:r>
      <w:r w:rsidR="000C46B5" w:rsidRPr="00931A0C">
        <w:rPr>
          <w:rFonts w:ascii="Arial" w:hAnsi="Arial" w:cs="Arial"/>
        </w:rPr>
        <w:t xml:space="preserve"> </w:t>
      </w:r>
      <w:r w:rsidR="000C46B5">
        <w:rPr>
          <w:rFonts w:ascii="Arial" w:hAnsi="Arial" w:cs="Arial"/>
        </w:rPr>
        <w:t xml:space="preserve">are </w:t>
      </w:r>
      <w:r w:rsidR="000C46B5" w:rsidRPr="00931A0C">
        <w:rPr>
          <w:rFonts w:ascii="Arial" w:hAnsi="Arial" w:cs="Arial"/>
        </w:rPr>
        <w:t>to be used first, then Empowerment Zone Credit</w:t>
      </w:r>
      <w:r w:rsidR="000C46B5">
        <w:rPr>
          <w:rFonts w:ascii="Arial" w:hAnsi="Arial" w:cs="Arial"/>
        </w:rPr>
        <w:t>s</w:t>
      </w:r>
      <w:r w:rsidR="000C46B5" w:rsidRPr="00931A0C">
        <w:rPr>
          <w:rFonts w:ascii="Arial" w:hAnsi="Arial" w:cs="Arial"/>
        </w:rPr>
        <w:t xml:space="preserve"> </w:t>
      </w:r>
      <w:r w:rsidR="000C46B5">
        <w:rPr>
          <w:rFonts w:ascii="Arial" w:hAnsi="Arial" w:cs="Arial"/>
        </w:rPr>
        <w:t xml:space="preserve">are </w:t>
      </w:r>
      <w:r w:rsidR="000C46B5" w:rsidRPr="00931A0C">
        <w:rPr>
          <w:rFonts w:ascii="Arial" w:hAnsi="Arial" w:cs="Arial"/>
        </w:rPr>
        <w:t xml:space="preserve">to </w:t>
      </w:r>
      <w:r w:rsidR="000C46B5">
        <w:rPr>
          <w:rFonts w:ascii="Arial" w:hAnsi="Arial" w:cs="Arial"/>
        </w:rPr>
        <w:t xml:space="preserve">be </w:t>
      </w:r>
      <w:r w:rsidR="000C46B5" w:rsidRPr="00931A0C">
        <w:rPr>
          <w:rFonts w:ascii="Arial" w:hAnsi="Arial" w:cs="Arial"/>
        </w:rPr>
        <w:t>used.</w:t>
      </w:r>
    </w:p>
    <w:p w:rsidR="000C46B5" w:rsidRDefault="000C46B5" w:rsidP="000C46B5">
      <w:pPr>
        <w:pStyle w:val="ListParagraph"/>
        <w:tabs>
          <w:tab w:val="left" w:pos="1440"/>
        </w:tabs>
        <w:jc w:val="both"/>
        <w:rPr>
          <w:rFonts w:ascii="Arial" w:hAnsi="Arial" w:cs="Arial"/>
          <w:b/>
        </w:rPr>
      </w:pPr>
    </w:p>
    <w:p w:rsidR="00FC236E" w:rsidRPr="00D54E2C" w:rsidRDefault="005369BD" w:rsidP="005369BD">
      <w:pPr>
        <w:pStyle w:val="ListParagraph"/>
        <w:numPr>
          <w:ilvl w:val="0"/>
          <w:numId w:val="1"/>
        </w:numPr>
        <w:tabs>
          <w:tab w:val="left" w:pos="1440"/>
        </w:tabs>
        <w:jc w:val="both"/>
        <w:rPr>
          <w:rFonts w:ascii="Arial" w:hAnsi="Arial" w:cs="Arial"/>
          <w:b/>
        </w:rPr>
      </w:pPr>
      <w:r w:rsidRPr="005369BD">
        <w:rPr>
          <w:rFonts w:ascii="Arial" w:hAnsi="Arial" w:cs="Arial"/>
          <w:b/>
        </w:rPr>
        <w:t xml:space="preserve">The ordering rules of business credits when there are </w:t>
      </w:r>
      <w:r w:rsidR="00DF5F14">
        <w:rPr>
          <w:rFonts w:ascii="Arial" w:hAnsi="Arial" w:cs="Arial"/>
          <w:b/>
        </w:rPr>
        <w:t xml:space="preserve">business credit </w:t>
      </w:r>
      <w:r w:rsidRPr="005369BD">
        <w:rPr>
          <w:rFonts w:ascii="Arial" w:hAnsi="Arial" w:cs="Arial"/>
          <w:b/>
        </w:rPr>
        <w:t>carryovers from prior years along with current year credits</w:t>
      </w:r>
      <w:r w:rsidR="000C46B5">
        <w:rPr>
          <w:rFonts w:ascii="Arial" w:hAnsi="Arial" w:cs="Arial"/>
          <w:b/>
        </w:rPr>
        <w:t xml:space="preserve"> - </w:t>
      </w:r>
      <w:r w:rsidR="000C46B5">
        <w:rPr>
          <w:rFonts w:ascii="Arial" w:hAnsi="Arial" w:cs="Arial"/>
        </w:rPr>
        <w:t>When there are unused business credits from prior years that are carried forward to a current year, all credits are utilized on a first in-first out basis. Therefore, prior year carryforwards are used up first, then current year credits are taken, then any credits that are being carried back to the current year are used.</w:t>
      </w:r>
    </w:p>
    <w:p w:rsidR="00D54E2C" w:rsidRPr="00D54E2C" w:rsidRDefault="00D54E2C" w:rsidP="00D54E2C">
      <w:pPr>
        <w:pStyle w:val="ListParagraph"/>
        <w:rPr>
          <w:rFonts w:ascii="Arial" w:hAnsi="Arial" w:cs="Arial"/>
          <w:b/>
        </w:rPr>
      </w:pPr>
    </w:p>
    <w:p w:rsidR="00D54E2C" w:rsidRPr="00A42C9B" w:rsidRDefault="00D54E2C" w:rsidP="005369BD">
      <w:pPr>
        <w:pStyle w:val="ListParagraph"/>
        <w:numPr>
          <w:ilvl w:val="0"/>
          <w:numId w:val="1"/>
        </w:numPr>
        <w:tabs>
          <w:tab w:val="left" w:pos="1440"/>
        </w:tabs>
        <w:jc w:val="both"/>
        <w:rPr>
          <w:rFonts w:ascii="Arial" w:hAnsi="Arial" w:cs="Arial"/>
          <w:b/>
        </w:rPr>
      </w:pPr>
      <w:r>
        <w:rPr>
          <w:rFonts w:ascii="Arial" w:hAnsi="Arial" w:cs="Arial"/>
          <w:b/>
        </w:rPr>
        <w:t>Whether the credits are from passive or non-passive activities</w:t>
      </w:r>
      <w:r w:rsidR="00853E36">
        <w:rPr>
          <w:rFonts w:ascii="Arial" w:hAnsi="Arial" w:cs="Arial"/>
          <w:b/>
        </w:rPr>
        <w:t xml:space="preserve"> - </w:t>
      </w:r>
      <w:r w:rsidR="00853E36">
        <w:rPr>
          <w:rFonts w:ascii="Arial" w:hAnsi="Arial" w:cs="Arial"/>
        </w:rPr>
        <w:t xml:space="preserve"> these rules are applied to further limit the amount of Empowerment Zone </w:t>
      </w:r>
      <w:r w:rsidR="006926C8">
        <w:rPr>
          <w:rFonts w:ascii="Arial" w:hAnsi="Arial" w:cs="Arial"/>
        </w:rPr>
        <w:t>C</w:t>
      </w:r>
      <w:r w:rsidR="00853E36">
        <w:rPr>
          <w:rFonts w:ascii="Arial" w:hAnsi="Arial" w:cs="Arial"/>
        </w:rPr>
        <w:t xml:space="preserve">redit taken to the lesser of 25% of total </w:t>
      </w:r>
      <w:r w:rsidR="00A3660C">
        <w:rPr>
          <w:rFonts w:ascii="Arial" w:hAnsi="Arial" w:cs="Arial"/>
        </w:rPr>
        <w:t xml:space="preserve">regular plus AMT </w:t>
      </w:r>
      <w:r w:rsidR="00853E36">
        <w:rPr>
          <w:rFonts w:ascii="Arial" w:hAnsi="Arial" w:cs="Arial"/>
        </w:rPr>
        <w:t>tax or the credit itself.</w:t>
      </w:r>
    </w:p>
    <w:p w:rsidR="00A42C9B" w:rsidRPr="00A42C9B" w:rsidRDefault="00A42C9B" w:rsidP="00A42C9B">
      <w:pPr>
        <w:pStyle w:val="ListParagraph"/>
        <w:rPr>
          <w:rFonts w:ascii="Arial" w:hAnsi="Arial" w:cs="Arial"/>
          <w:b/>
        </w:rPr>
      </w:pPr>
    </w:p>
    <w:p w:rsidR="00407A56" w:rsidRDefault="00A42C9B" w:rsidP="00407A56">
      <w:pPr>
        <w:pStyle w:val="ListParagraph"/>
        <w:numPr>
          <w:ilvl w:val="0"/>
          <w:numId w:val="1"/>
        </w:numPr>
        <w:tabs>
          <w:tab w:val="left" w:pos="1440"/>
        </w:tabs>
        <w:jc w:val="both"/>
        <w:rPr>
          <w:rFonts w:ascii="Arial" w:hAnsi="Arial" w:cs="Arial"/>
          <w:b/>
        </w:rPr>
      </w:pPr>
      <w:r w:rsidRPr="00407A56">
        <w:rPr>
          <w:rFonts w:ascii="Arial" w:hAnsi="Arial" w:cs="Arial"/>
          <w:b/>
        </w:rPr>
        <w:t>The limitations on the utilization of all credits</w:t>
      </w:r>
      <w:r w:rsidR="00E87194" w:rsidRPr="00407A56">
        <w:rPr>
          <w:rFonts w:ascii="Arial" w:hAnsi="Arial" w:cs="Arial"/>
          <w:b/>
        </w:rPr>
        <w:t xml:space="preserve"> - </w:t>
      </w:r>
    </w:p>
    <w:p w:rsidR="00324B12" w:rsidRPr="00324B12" w:rsidRDefault="00324B12" w:rsidP="00407A56">
      <w:pPr>
        <w:pStyle w:val="ListParagraph"/>
        <w:numPr>
          <w:ilvl w:val="1"/>
          <w:numId w:val="1"/>
        </w:numPr>
        <w:tabs>
          <w:tab w:val="left" w:pos="1440"/>
        </w:tabs>
        <w:jc w:val="both"/>
        <w:rPr>
          <w:rFonts w:ascii="Arial" w:hAnsi="Arial" w:cs="Arial"/>
          <w:b/>
        </w:rPr>
      </w:pPr>
      <w:r>
        <w:rPr>
          <w:rFonts w:ascii="Arial" w:hAnsi="Arial" w:cs="Arial"/>
        </w:rPr>
        <w:t xml:space="preserve">The total </w:t>
      </w:r>
      <w:r w:rsidR="00F41962">
        <w:rPr>
          <w:rFonts w:ascii="Arial" w:hAnsi="Arial" w:cs="Arial"/>
        </w:rPr>
        <w:t xml:space="preserve">of all </w:t>
      </w:r>
      <w:r>
        <w:rPr>
          <w:rFonts w:ascii="Arial" w:hAnsi="Arial" w:cs="Arial"/>
        </w:rPr>
        <w:t>available business credit</w:t>
      </w:r>
      <w:r w:rsidR="00F41962">
        <w:rPr>
          <w:rFonts w:ascii="Arial" w:hAnsi="Arial" w:cs="Arial"/>
        </w:rPr>
        <w:t>s</w:t>
      </w:r>
      <w:r>
        <w:rPr>
          <w:rFonts w:ascii="Arial" w:hAnsi="Arial" w:cs="Arial"/>
        </w:rPr>
        <w:t xml:space="preserve"> that can be taken is the total regular plus AMT </w:t>
      </w:r>
      <w:r w:rsidR="00F41962">
        <w:rPr>
          <w:rFonts w:ascii="Arial" w:hAnsi="Arial" w:cs="Arial"/>
        </w:rPr>
        <w:t xml:space="preserve">tax less </w:t>
      </w:r>
      <w:r>
        <w:rPr>
          <w:rFonts w:ascii="Arial" w:hAnsi="Arial" w:cs="Arial"/>
        </w:rPr>
        <w:t>the regular tax</w:t>
      </w:r>
      <w:r w:rsidR="00F41962">
        <w:rPr>
          <w:rFonts w:ascii="Arial" w:hAnsi="Arial" w:cs="Arial"/>
        </w:rPr>
        <w:t xml:space="preserve"> minus a $25,000 floor times 25%</w:t>
      </w:r>
    </w:p>
    <w:p w:rsidR="00407A56" w:rsidRPr="00407A56" w:rsidRDefault="00407A56" w:rsidP="00407A56">
      <w:pPr>
        <w:pStyle w:val="ListParagraph"/>
        <w:numPr>
          <w:ilvl w:val="1"/>
          <w:numId w:val="1"/>
        </w:numPr>
        <w:tabs>
          <w:tab w:val="left" w:pos="1440"/>
        </w:tabs>
        <w:jc w:val="both"/>
        <w:rPr>
          <w:rFonts w:ascii="Arial" w:hAnsi="Arial" w:cs="Arial"/>
          <w:b/>
        </w:rPr>
      </w:pPr>
      <w:r w:rsidRPr="00407A56">
        <w:rPr>
          <w:rFonts w:ascii="Arial" w:hAnsi="Arial" w:cs="Arial"/>
        </w:rPr>
        <w:t xml:space="preserve">the Empowerment Zone </w:t>
      </w:r>
      <w:r w:rsidR="006926C8">
        <w:rPr>
          <w:rFonts w:ascii="Arial" w:hAnsi="Arial" w:cs="Arial"/>
        </w:rPr>
        <w:t>C</w:t>
      </w:r>
      <w:r w:rsidRPr="00407A56">
        <w:rPr>
          <w:rFonts w:ascii="Arial" w:hAnsi="Arial" w:cs="Arial"/>
        </w:rPr>
        <w:t>redit is limited to 25% of the total regular plus AMT tax</w:t>
      </w:r>
    </w:p>
    <w:p w:rsidR="00A42C9B" w:rsidRPr="004665EE" w:rsidRDefault="00407A56" w:rsidP="00407A56">
      <w:pPr>
        <w:pStyle w:val="ListParagraph"/>
        <w:numPr>
          <w:ilvl w:val="1"/>
          <w:numId w:val="1"/>
        </w:numPr>
        <w:tabs>
          <w:tab w:val="left" w:pos="1440"/>
        </w:tabs>
        <w:jc w:val="both"/>
        <w:rPr>
          <w:rFonts w:ascii="Arial" w:hAnsi="Arial" w:cs="Arial"/>
          <w:b/>
        </w:rPr>
      </w:pPr>
      <w:r w:rsidRPr="00407A56">
        <w:rPr>
          <w:rFonts w:ascii="Arial" w:hAnsi="Arial" w:cs="Arial"/>
        </w:rPr>
        <w:t xml:space="preserve">the Work Opportunity </w:t>
      </w:r>
      <w:r w:rsidR="006926C8">
        <w:rPr>
          <w:rFonts w:ascii="Arial" w:hAnsi="Arial" w:cs="Arial"/>
        </w:rPr>
        <w:t>C</w:t>
      </w:r>
      <w:r w:rsidRPr="00407A56">
        <w:rPr>
          <w:rFonts w:ascii="Arial" w:hAnsi="Arial" w:cs="Arial"/>
        </w:rPr>
        <w:t>redit is limited to the total regular and AMT tax less 25% of the regular tax and less any Empowerment Zone credit</w:t>
      </w:r>
      <w:r w:rsidR="00D20F14">
        <w:rPr>
          <w:rFonts w:ascii="Arial" w:hAnsi="Arial" w:cs="Arial"/>
        </w:rPr>
        <w:t xml:space="preserve"> taken</w:t>
      </w:r>
    </w:p>
    <w:p w:rsidR="004665EE" w:rsidRPr="00407A56" w:rsidRDefault="004665EE" w:rsidP="00407A56">
      <w:pPr>
        <w:pStyle w:val="ListParagraph"/>
        <w:numPr>
          <w:ilvl w:val="1"/>
          <w:numId w:val="1"/>
        </w:numPr>
        <w:tabs>
          <w:tab w:val="left" w:pos="1440"/>
        </w:tabs>
        <w:jc w:val="both"/>
        <w:rPr>
          <w:rFonts w:ascii="Arial" w:hAnsi="Arial" w:cs="Arial"/>
          <w:b/>
        </w:rPr>
      </w:pPr>
      <w:r>
        <w:rPr>
          <w:rFonts w:ascii="Arial" w:hAnsi="Arial" w:cs="Arial"/>
        </w:rPr>
        <w:t>Any unused credits are carried forward to future years</w:t>
      </w:r>
      <w:r w:rsidR="00AC49A2">
        <w:rPr>
          <w:rFonts w:ascii="Arial" w:hAnsi="Arial" w:cs="Arial"/>
        </w:rPr>
        <w:t xml:space="preserve"> for up to 20 years</w:t>
      </w:r>
    </w:p>
    <w:p w:rsidR="005369BD" w:rsidRPr="005369BD" w:rsidRDefault="005369BD" w:rsidP="005369BD">
      <w:pPr>
        <w:tabs>
          <w:tab w:val="left" w:pos="1440"/>
        </w:tabs>
        <w:jc w:val="both"/>
        <w:rPr>
          <w:rFonts w:ascii="Arial" w:hAnsi="Arial" w:cs="Arial"/>
          <w:b/>
        </w:rPr>
      </w:pPr>
    </w:p>
    <w:p w:rsidR="00F4331B" w:rsidRDefault="00F4331B">
      <w:pPr>
        <w:tabs>
          <w:tab w:val="left" w:pos="1440"/>
        </w:tabs>
        <w:jc w:val="both"/>
        <w:rPr>
          <w:rFonts w:ascii="Arial" w:hAnsi="Arial" w:cs="Arial"/>
        </w:rPr>
      </w:pPr>
      <w:r w:rsidRPr="000B6742">
        <w:rPr>
          <w:rFonts w:ascii="Arial" w:hAnsi="Arial" w:cs="Arial"/>
          <w:b/>
          <w:u w:val="single"/>
        </w:rPr>
        <w:t>Conclusion</w:t>
      </w:r>
      <w:r w:rsidRPr="005369BD">
        <w:rPr>
          <w:rFonts w:ascii="Arial" w:hAnsi="Arial" w:cs="Arial"/>
          <w:b/>
        </w:rPr>
        <w:t>:</w:t>
      </w:r>
      <w:r w:rsidRPr="003A22CA">
        <w:rPr>
          <w:rFonts w:ascii="Arial" w:hAnsi="Arial" w:cs="Arial"/>
        </w:rPr>
        <w:t xml:space="preserve"> </w:t>
      </w:r>
      <w:r w:rsidR="003A22CA" w:rsidRPr="003A22CA">
        <w:rPr>
          <w:rFonts w:ascii="Arial" w:hAnsi="Arial" w:cs="Arial"/>
        </w:rPr>
        <w:t xml:space="preserve">In applying the </w:t>
      </w:r>
      <w:r w:rsidR="003A22CA">
        <w:rPr>
          <w:rFonts w:ascii="Arial" w:hAnsi="Arial" w:cs="Arial"/>
        </w:rPr>
        <w:t>above considerations</w:t>
      </w:r>
      <w:r w:rsidR="00E87194">
        <w:rPr>
          <w:rFonts w:ascii="Arial" w:hAnsi="Arial" w:cs="Arial"/>
        </w:rPr>
        <w:t xml:space="preserve"> to the </w:t>
      </w:r>
      <w:r w:rsidR="002770A4">
        <w:rPr>
          <w:rFonts w:ascii="Arial" w:hAnsi="Arial" w:cs="Arial"/>
        </w:rPr>
        <w:t>taxpayer</w:t>
      </w:r>
      <w:r w:rsidR="00162C3A">
        <w:rPr>
          <w:rFonts w:ascii="Arial" w:hAnsi="Arial" w:cs="Arial"/>
        </w:rPr>
        <w:t xml:space="preserve"> for 2014</w:t>
      </w:r>
      <w:r w:rsidR="003A22CA">
        <w:rPr>
          <w:rFonts w:ascii="Arial" w:hAnsi="Arial" w:cs="Arial"/>
        </w:rPr>
        <w:t xml:space="preserve">, the Work Opportunity </w:t>
      </w:r>
      <w:r w:rsidR="006926C8">
        <w:rPr>
          <w:rFonts w:ascii="Arial" w:hAnsi="Arial" w:cs="Arial"/>
        </w:rPr>
        <w:t>C</w:t>
      </w:r>
      <w:r w:rsidR="003A22CA">
        <w:rPr>
          <w:rFonts w:ascii="Arial" w:hAnsi="Arial" w:cs="Arial"/>
        </w:rPr>
        <w:t xml:space="preserve">redit </w:t>
      </w:r>
      <w:r w:rsidR="006926C8">
        <w:rPr>
          <w:rFonts w:ascii="Arial" w:hAnsi="Arial" w:cs="Arial"/>
        </w:rPr>
        <w:t xml:space="preserve">carryover </w:t>
      </w:r>
      <w:r w:rsidR="003A22CA">
        <w:rPr>
          <w:rFonts w:ascii="Arial" w:hAnsi="Arial" w:cs="Arial"/>
        </w:rPr>
        <w:t xml:space="preserve">from </w:t>
      </w:r>
      <w:r w:rsidR="00162C3A">
        <w:rPr>
          <w:rFonts w:ascii="Arial" w:hAnsi="Arial" w:cs="Arial"/>
        </w:rPr>
        <w:t xml:space="preserve">the </w:t>
      </w:r>
      <w:r w:rsidR="003A22CA">
        <w:rPr>
          <w:rFonts w:ascii="Arial" w:hAnsi="Arial" w:cs="Arial"/>
        </w:rPr>
        <w:t>prior year</w:t>
      </w:r>
      <w:r w:rsidR="00162C3A">
        <w:rPr>
          <w:rFonts w:ascii="Arial" w:hAnsi="Arial" w:cs="Arial"/>
        </w:rPr>
        <w:t xml:space="preserve"> (2013)</w:t>
      </w:r>
      <w:r w:rsidR="003A22CA">
        <w:rPr>
          <w:rFonts w:ascii="Arial" w:hAnsi="Arial" w:cs="Arial"/>
        </w:rPr>
        <w:t xml:space="preserve"> is to be used first (subject to any limitations), then the Work Opportunity </w:t>
      </w:r>
      <w:r w:rsidR="006926C8">
        <w:rPr>
          <w:rFonts w:ascii="Arial" w:hAnsi="Arial" w:cs="Arial"/>
        </w:rPr>
        <w:t>C</w:t>
      </w:r>
      <w:r w:rsidR="003A22CA">
        <w:rPr>
          <w:rFonts w:ascii="Arial" w:hAnsi="Arial" w:cs="Arial"/>
        </w:rPr>
        <w:t xml:space="preserve">redit from the current year </w:t>
      </w:r>
      <w:r w:rsidR="00162C3A">
        <w:rPr>
          <w:rFonts w:ascii="Arial" w:hAnsi="Arial" w:cs="Arial"/>
        </w:rPr>
        <w:t xml:space="preserve">(2014) </w:t>
      </w:r>
      <w:r w:rsidR="003A22CA">
        <w:rPr>
          <w:rFonts w:ascii="Arial" w:hAnsi="Arial" w:cs="Arial"/>
        </w:rPr>
        <w:t xml:space="preserve">is to be used (subject to any limitations), then the Empowerment Zone </w:t>
      </w:r>
      <w:r w:rsidR="006926C8">
        <w:rPr>
          <w:rFonts w:ascii="Arial" w:hAnsi="Arial" w:cs="Arial"/>
        </w:rPr>
        <w:t>C</w:t>
      </w:r>
      <w:r w:rsidR="003A22CA">
        <w:rPr>
          <w:rFonts w:ascii="Arial" w:hAnsi="Arial" w:cs="Arial"/>
        </w:rPr>
        <w:t>redit from the current year is to be used (subject to any limitations).</w:t>
      </w:r>
    </w:p>
    <w:p w:rsidR="00314F31" w:rsidRDefault="00314F31">
      <w:pPr>
        <w:tabs>
          <w:tab w:val="left" w:pos="1440"/>
        </w:tabs>
        <w:jc w:val="both"/>
        <w:rPr>
          <w:rFonts w:ascii="Arial" w:hAnsi="Arial" w:cs="Arial"/>
        </w:rPr>
      </w:pPr>
    </w:p>
    <w:p w:rsidR="001F1D87" w:rsidRDefault="0057566D" w:rsidP="0057566D">
      <w:pPr>
        <w:pStyle w:val="ListParagraph"/>
        <w:numPr>
          <w:ilvl w:val="0"/>
          <w:numId w:val="4"/>
        </w:numPr>
        <w:tabs>
          <w:tab w:val="left" w:pos="1440"/>
        </w:tabs>
        <w:jc w:val="both"/>
        <w:rPr>
          <w:rFonts w:ascii="Arial" w:hAnsi="Arial" w:cs="Arial"/>
        </w:rPr>
      </w:pPr>
      <w:r>
        <w:rPr>
          <w:rFonts w:ascii="Arial" w:hAnsi="Arial" w:cs="Arial"/>
        </w:rPr>
        <w:t xml:space="preserve">The </w:t>
      </w:r>
      <w:r w:rsidR="00020039">
        <w:rPr>
          <w:rFonts w:ascii="Arial" w:hAnsi="Arial" w:cs="Arial"/>
        </w:rPr>
        <w:t xml:space="preserve">allowed </w:t>
      </w:r>
      <w:r>
        <w:rPr>
          <w:rFonts w:ascii="Arial" w:hAnsi="Arial" w:cs="Arial"/>
        </w:rPr>
        <w:t xml:space="preserve">Empowerment Zone </w:t>
      </w:r>
      <w:r w:rsidR="006926C8">
        <w:rPr>
          <w:rFonts w:ascii="Arial" w:hAnsi="Arial" w:cs="Arial"/>
        </w:rPr>
        <w:t>C</w:t>
      </w:r>
      <w:r>
        <w:rPr>
          <w:rFonts w:ascii="Arial" w:hAnsi="Arial" w:cs="Arial"/>
        </w:rPr>
        <w:t>redit is figured first as it is needed to calculate the Work Opportunity credit.</w:t>
      </w:r>
      <w:r w:rsidR="007E4004">
        <w:rPr>
          <w:rFonts w:ascii="Arial" w:hAnsi="Arial" w:cs="Arial"/>
        </w:rPr>
        <w:t xml:space="preserve"> </w:t>
      </w:r>
    </w:p>
    <w:p w:rsidR="001F1D87" w:rsidRDefault="007E4004" w:rsidP="001F1D87">
      <w:pPr>
        <w:pStyle w:val="ListParagraph"/>
        <w:numPr>
          <w:ilvl w:val="1"/>
          <w:numId w:val="4"/>
        </w:numPr>
        <w:tabs>
          <w:tab w:val="left" w:pos="1440"/>
        </w:tabs>
        <w:jc w:val="both"/>
        <w:rPr>
          <w:rFonts w:ascii="Arial" w:hAnsi="Arial" w:cs="Arial"/>
        </w:rPr>
      </w:pPr>
      <w:r>
        <w:rPr>
          <w:rFonts w:ascii="Arial" w:hAnsi="Arial" w:cs="Arial"/>
        </w:rPr>
        <w:t>$147,973 x 25% = $36,993</w:t>
      </w:r>
    </w:p>
    <w:p w:rsidR="0057566D" w:rsidRDefault="007E4004" w:rsidP="001F1D87">
      <w:pPr>
        <w:pStyle w:val="ListParagraph"/>
        <w:numPr>
          <w:ilvl w:val="1"/>
          <w:numId w:val="4"/>
        </w:numPr>
        <w:tabs>
          <w:tab w:val="left" w:pos="1440"/>
        </w:tabs>
        <w:jc w:val="both"/>
        <w:rPr>
          <w:rFonts w:ascii="Arial" w:hAnsi="Arial" w:cs="Arial"/>
        </w:rPr>
      </w:pPr>
      <w:r>
        <w:rPr>
          <w:rFonts w:ascii="Arial" w:hAnsi="Arial" w:cs="Arial"/>
        </w:rPr>
        <w:t>the balance of the credit $87,400 ($124,393 - $36,993) is carried forward to future years</w:t>
      </w:r>
    </w:p>
    <w:p w:rsidR="001F1D87" w:rsidRDefault="001F1D87" w:rsidP="001F1D87">
      <w:pPr>
        <w:pStyle w:val="ListParagraph"/>
        <w:tabs>
          <w:tab w:val="left" w:pos="1440"/>
        </w:tabs>
        <w:ind w:left="1440"/>
        <w:jc w:val="both"/>
        <w:rPr>
          <w:rFonts w:ascii="Arial" w:hAnsi="Arial" w:cs="Arial"/>
        </w:rPr>
      </w:pPr>
    </w:p>
    <w:p w:rsidR="004956E0" w:rsidRDefault="007E4004" w:rsidP="0057566D">
      <w:pPr>
        <w:pStyle w:val="ListParagraph"/>
        <w:numPr>
          <w:ilvl w:val="0"/>
          <w:numId w:val="4"/>
        </w:numPr>
        <w:tabs>
          <w:tab w:val="left" w:pos="1440"/>
        </w:tabs>
        <w:jc w:val="both"/>
        <w:rPr>
          <w:rFonts w:ascii="Arial" w:hAnsi="Arial" w:cs="Arial"/>
        </w:rPr>
      </w:pPr>
      <w:r>
        <w:rPr>
          <w:rFonts w:ascii="Arial" w:hAnsi="Arial" w:cs="Arial"/>
        </w:rPr>
        <w:t xml:space="preserve">The </w:t>
      </w:r>
      <w:r w:rsidR="00020039">
        <w:rPr>
          <w:rFonts w:ascii="Arial" w:hAnsi="Arial" w:cs="Arial"/>
        </w:rPr>
        <w:t xml:space="preserve">allowed </w:t>
      </w:r>
      <w:r>
        <w:rPr>
          <w:rFonts w:ascii="Arial" w:hAnsi="Arial" w:cs="Arial"/>
        </w:rPr>
        <w:t xml:space="preserve">Work Opportunity </w:t>
      </w:r>
      <w:r w:rsidR="006926C8">
        <w:rPr>
          <w:rFonts w:ascii="Arial" w:hAnsi="Arial" w:cs="Arial"/>
        </w:rPr>
        <w:t>C</w:t>
      </w:r>
      <w:r>
        <w:rPr>
          <w:rFonts w:ascii="Arial" w:hAnsi="Arial" w:cs="Arial"/>
        </w:rPr>
        <w:t>redit is then figured as follows</w:t>
      </w:r>
      <w:r w:rsidR="007D1D23">
        <w:rPr>
          <w:rFonts w:ascii="Arial" w:hAnsi="Arial" w:cs="Arial"/>
        </w:rPr>
        <w:t>,</w:t>
      </w:r>
      <w:r>
        <w:rPr>
          <w:rFonts w:ascii="Arial" w:hAnsi="Arial" w:cs="Arial"/>
        </w:rPr>
        <w:t xml:space="preserve"> $147,973 </w:t>
      </w:r>
      <w:r w:rsidR="00F1225D">
        <w:rPr>
          <w:rFonts w:ascii="Arial" w:hAnsi="Arial" w:cs="Arial"/>
        </w:rPr>
        <w:t xml:space="preserve">total regular and AMT tax </w:t>
      </w:r>
      <w:r w:rsidR="00064551">
        <w:rPr>
          <w:rFonts w:ascii="Arial" w:hAnsi="Arial" w:cs="Arial"/>
        </w:rPr>
        <w:t>less</w:t>
      </w:r>
      <w:r w:rsidR="00F1225D">
        <w:rPr>
          <w:rFonts w:ascii="Arial" w:hAnsi="Arial" w:cs="Arial"/>
        </w:rPr>
        <w:t xml:space="preserve"> 25% of </w:t>
      </w:r>
      <w:r w:rsidR="004956E0">
        <w:rPr>
          <w:rFonts w:ascii="Arial" w:hAnsi="Arial" w:cs="Arial"/>
        </w:rPr>
        <w:t xml:space="preserve">the </w:t>
      </w:r>
      <w:r>
        <w:rPr>
          <w:rFonts w:ascii="Arial" w:hAnsi="Arial" w:cs="Arial"/>
        </w:rPr>
        <w:t xml:space="preserve">regular tax </w:t>
      </w:r>
      <w:r w:rsidR="00F1225D">
        <w:rPr>
          <w:rFonts w:ascii="Arial" w:hAnsi="Arial" w:cs="Arial"/>
        </w:rPr>
        <w:t xml:space="preserve">minus a $25,000 floor </w:t>
      </w:r>
      <w:r>
        <w:rPr>
          <w:rFonts w:ascii="Arial" w:hAnsi="Arial" w:cs="Arial"/>
        </w:rPr>
        <w:t>and then less the Empowerment Zone credit of $36,993</w:t>
      </w:r>
      <w:r w:rsidR="00064551">
        <w:rPr>
          <w:rFonts w:ascii="Arial" w:hAnsi="Arial" w:cs="Arial"/>
        </w:rPr>
        <w:t xml:space="preserve">. </w:t>
      </w:r>
    </w:p>
    <w:p w:rsidR="0057566D" w:rsidRDefault="00064551" w:rsidP="004956E0">
      <w:pPr>
        <w:pStyle w:val="ListParagraph"/>
        <w:numPr>
          <w:ilvl w:val="1"/>
          <w:numId w:val="4"/>
        </w:numPr>
        <w:tabs>
          <w:tab w:val="left" w:pos="1440"/>
        </w:tabs>
        <w:jc w:val="both"/>
        <w:rPr>
          <w:rFonts w:ascii="Arial" w:hAnsi="Arial" w:cs="Arial"/>
        </w:rPr>
      </w:pPr>
      <w:r>
        <w:rPr>
          <w:rFonts w:ascii="Arial" w:hAnsi="Arial" w:cs="Arial"/>
        </w:rPr>
        <w:t xml:space="preserve">$147,973 - (($127,865 - $25,000) x 25%) - $25,716 </w:t>
      </w:r>
      <w:r w:rsidR="00F1225D">
        <w:rPr>
          <w:rFonts w:ascii="Arial" w:hAnsi="Arial" w:cs="Arial"/>
        </w:rPr>
        <w:t xml:space="preserve">- $36,993 </w:t>
      </w:r>
      <w:r>
        <w:rPr>
          <w:rFonts w:ascii="Arial" w:hAnsi="Arial" w:cs="Arial"/>
        </w:rPr>
        <w:t>= $85,264.</w:t>
      </w:r>
    </w:p>
    <w:p w:rsidR="00DF7C18" w:rsidRDefault="00DF7C18" w:rsidP="004956E0">
      <w:pPr>
        <w:pStyle w:val="ListParagraph"/>
        <w:numPr>
          <w:ilvl w:val="1"/>
          <w:numId w:val="4"/>
        </w:numPr>
        <w:tabs>
          <w:tab w:val="left" w:pos="1440"/>
        </w:tabs>
        <w:jc w:val="both"/>
        <w:rPr>
          <w:rFonts w:ascii="Arial" w:hAnsi="Arial" w:cs="Arial"/>
        </w:rPr>
      </w:pPr>
      <w:r>
        <w:rPr>
          <w:rFonts w:ascii="Arial" w:hAnsi="Arial" w:cs="Arial"/>
        </w:rPr>
        <w:t xml:space="preserve">The prior year carryover is used first or $77,887, then the balance of 7,377 is used </w:t>
      </w:r>
      <w:r w:rsidR="00F1225D">
        <w:rPr>
          <w:rFonts w:ascii="Arial" w:hAnsi="Arial" w:cs="Arial"/>
        </w:rPr>
        <w:t xml:space="preserve">from the current year </w:t>
      </w:r>
      <w:r>
        <w:rPr>
          <w:rFonts w:ascii="Arial" w:hAnsi="Arial" w:cs="Arial"/>
        </w:rPr>
        <w:t xml:space="preserve">to get to the </w:t>
      </w:r>
      <w:r w:rsidR="00F1225D">
        <w:rPr>
          <w:rFonts w:ascii="Arial" w:hAnsi="Arial" w:cs="Arial"/>
        </w:rPr>
        <w:t xml:space="preserve">current year </w:t>
      </w:r>
      <w:r>
        <w:rPr>
          <w:rFonts w:ascii="Arial" w:hAnsi="Arial" w:cs="Arial"/>
        </w:rPr>
        <w:t>limit of 85,264</w:t>
      </w:r>
    </w:p>
    <w:p w:rsidR="00DF7C18" w:rsidRPr="0057566D" w:rsidRDefault="00DF7C18" w:rsidP="004956E0">
      <w:pPr>
        <w:pStyle w:val="ListParagraph"/>
        <w:numPr>
          <w:ilvl w:val="1"/>
          <w:numId w:val="4"/>
        </w:numPr>
        <w:tabs>
          <w:tab w:val="left" w:pos="1440"/>
        </w:tabs>
        <w:jc w:val="both"/>
        <w:rPr>
          <w:rFonts w:ascii="Arial" w:hAnsi="Arial" w:cs="Arial"/>
        </w:rPr>
      </w:pPr>
      <w:r>
        <w:rPr>
          <w:rFonts w:ascii="Arial" w:hAnsi="Arial" w:cs="Arial"/>
        </w:rPr>
        <w:t xml:space="preserve">Then the remaining credit of $261,318 </w:t>
      </w:r>
      <w:r w:rsidR="000A5B1A">
        <w:rPr>
          <w:rFonts w:ascii="Arial" w:hAnsi="Arial" w:cs="Arial"/>
        </w:rPr>
        <w:t xml:space="preserve">($77,887 + $268,695 - $77,887 - $7,377 = $261,318) </w:t>
      </w:r>
      <w:r>
        <w:rPr>
          <w:rFonts w:ascii="Arial" w:hAnsi="Arial" w:cs="Arial"/>
        </w:rPr>
        <w:t>is carried forward to future years</w:t>
      </w:r>
      <w:r w:rsidR="000A5B1A">
        <w:rPr>
          <w:rFonts w:ascii="Arial" w:hAnsi="Arial" w:cs="Arial"/>
        </w:rPr>
        <w:t xml:space="preserve"> for up to 20 years</w:t>
      </w:r>
    </w:p>
    <w:p w:rsidR="003A22CA" w:rsidRDefault="003A22CA">
      <w:pPr>
        <w:tabs>
          <w:tab w:val="left" w:pos="1440"/>
        </w:tabs>
        <w:jc w:val="both"/>
        <w:rPr>
          <w:rFonts w:ascii="Arial" w:hAnsi="Arial" w:cs="Arial"/>
        </w:rPr>
      </w:pPr>
    </w:p>
    <w:sectPr w:rsidR="003A22CA">
      <w:footerReference w:type="default" r:id="rId7"/>
      <w:pgSz w:w="12240" w:h="15840" w:code="1"/>
      <w:pgMar w:top="1440" w:right="1440" w:bottom="1440" w:left="1440" w:header="1440" w:footer="53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A3462" w:rsidRDefault="00DA3462">
      <w:r>
        <w:separator/>
      </w:r>
    </w:p>
  </w:endnote>
  <w:endnote w:type="continuationSeparator" w:id="0">
    <w:p w:rsidR="00DA3462" w:rsidRDefault="00DA3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71E6" w:rsidRPr="00C171E6" w:rsidRDefault="00C171E6" w:rsidP="00C171E6">
    <w:pPr>
      <w:pBdr>
        <w:top w:val="single" w:sz="4" w:space="1" w:color="auto"/>
      </w:pBdr>
      <w:spacing w:before="100" w:beforeAutospacing="1" w:after="100" w:afterAutospacing="1"/>
      <w:ind w:left="-720" w:right="-720"/>
      <w:jc w:val="both"/>
      <w:rPr>
        <w:b/>
        <w:bCs/>
        <w:i/>
        <w:iCs/>
        <w:color w:val="000080"/>
        <w:sz w:val="2"/>
        <w:szCs w:val="18"/>
      </w:rPr>
    </w:pPr>
  </w:p>
  <w:p w:rsidR="00C171E6" w:rsidRPr="00C171E6" w:rsidRDefault="00C171E6" w:rsidP="00D54B58">
    <w:pPr>
      <w:pStyle w:val="Footer"/>
      <w:tabs>
        <w:tab w:val="clear" w:pos="8640"/>
      </w:tabs>
      <w:ind w:left="-630"/>
      <w:jc w:val="right"/>
      <w:rPr>
        <w:sz w:val="22"/>
      </w:rPr>
    </w:pPr>
  </w:p>
  <w:p w:rsidR="005A31F5" w:rsidRPr="00D54B58" w:rsidRDefault="005A31F5">
    <w:pPr>
      <w:pStyle w:val="Footer"/>
      <w:tabs>
        <w:tab w:val="clear" w:pos="8640"/>
      </w:tabs>
      <w:ind w:left="-630"/>
      <w:rPr>
        <w:rFonts w:ascii="Century Gothic" w:hAnsi="Century Gothic"/>
        <w:sz w:val="24"/>
      </w:rPr>
    </w:pPr>
    <w:r w:rsidRPr="00D54B58">
      <w:rPr>
        <w:rFonts w:ascii="Century Gothic" w:hAnsi="Century Gothic"/>
        <w:sz w:val="24"/>
      </w:rPr>
      <w:t>Personal and Confidential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A3462" w:rsidRDefault="00DA3462">
      <w:r>
        <w:separator/>
      </w:r>
    </w:p>
  </w:footnote>
  <w:footnote w:type="continuationSeparator" w:id="0">
    <w:p w:rsidR="00DA3462" w:rsidRDefault="00DA3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76435"/>
    <w:multiLevelType w:val="hybridMultilevel"/>
    <w:tmpl w:val="06B4A19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264C38"/>
    <w:multiLevelType w:val="hybridMultilevel"/>
    <w:tmpl w:val="95AA426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F40A97"/>
    <w:multiLevelType w:val="hybridMultilevel"/>
    <w:tmpl w:val="3D4C01C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CC3201D"/>
    <w:multiLevelType w:val="hybridMultilevel"/>
    <w:tmpl w:val="DBE8F07E"/>
    <w:lvl w:ilvl="0" w:tplc="20B8B1DC">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8" w:dllVersion="513"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71E6"/>
    <w:rsid w:val="00020039"/>
    <w:rsid w:val="00064551"/>
    <w:rsid w:val="0009166D"/>
    <w:rsid w:val="000A5B1A"/>
    <w:rsid w:val="000B6742"/>
    <w:rsid w:val="000C46B5"/>
    <w:rsid w:val="00162C3A"/>
    <w:rsid w:val="00167731"/>
    <w:rsid w:val="00177405"/>
    <w:rsid w:val="0019653A"/>
    <w:rsid w:val="001F1507"/>
    <w:rsid w:val="001F1D87"/>
    <w:rsid w:val="00260AE2"/>
    <w:rsid w:val="0027451F"/>
    <w:rsid w:val="002770A4"/>
    <w:rsid w:val="002F7100"/>
    <w:rsid w:val="00314F31"/>
    <w:rsid w:val="00324B12"/>
    <w:rsid w:val="003731F3"/>
    <w:rsid w:val="003A22CA"/>
    <w:rsid w:val="003F3CDC"/>
    <w:rsid w:val="00407A56"/>
    <w:rsid w:val="004665EE"/>
    <w:rsid w:val="004828BA"/>
    <w:rsid w:val="004956E0"/>
    <w:rsid w:val="005369BD"/>
    <w:rsid w:val="0057566D"/>
    <w:rsid w:val="00585BFB"/>
    <w:rsid w:val="005A31F5"/>
    <w:rsid w:val="0060241B"/>
    <w:rsid w:val="006926C8"/>
    <w:rsid w:val="006F065C"/>
    <w:rsid w:val="0075548D"/>
    <w:rsid w:val="007A3B8E"/>
    <w:rsid w:val="007B3149"/>
    <w:rsid w:val="007D1D23"/>
    <w:rsid w:val="007E4004"/>
    <w:rsid w:val="00815901"/>
    <w:rsid w:val="0083654B"/>
    <w:rsid w:val="00853E36"/>
    <w:rsid w:val="00864941"/>
    <w:rsid w:val="008D02EF"/>
    <w:rsid w:val="009067C0"/>
    <w:rsid w:val="00931A0C"/>
    <w:rsid w:val="009B3717"/>
    <w:rsid w:val="009B7F9A"/>
    <w:rsid w:val="00A02100"/>
    <w:rsid w:val="00A11314"/>
    <w:rsid w:val="00A3660C"/>
    <w:rsid w:val="00A41108"/>
    <w:rsid w:val="00A42C9B"/>
    <w:rsid w:val="00A52063"/>
    <w:rsid w:val="00AC4120"/>
    <w:rsid w:val="00AC49A2"/>
    <w:rsid w:val="00AE792A"/>
    <w:rsid w:val="00B500FB"/>
    <w:rsid w:val="00BC060D"/>
    <w:rsid w:val="00BC2ECF"/>
    <w:rsid w:val="00BF1F83"/>
    <w:rsid w:val="00C15199"/>
    <w:rsid w:val="00C171E6"/>
    <w:rsid w:val="00C60DD7"/>
    <w:rsid w:val="00C90722"/>
    <w:rsid w:val="00CB497F"/>
    <w:rsid w:val="00CF38C9"/>
    <w:rsid w:val="00D20F14"/>
    <w:rsid w:val="00D54B58"/>
    <w:rsid w:val="00D54E2C"/>
    <w:rsid w:val="00D75BB7"/>
    <w:rsid w:val="00DA3462"/>
    <w:rsid w:val="00DF5F14"/>
    <w:rsid w:val="00DF675C"/>
    <w:rsid w:val="00DF7C18"/>
    <w:rsid w:val="00E72A51"/>
    <w:rsid w:val="00E87194"/>
    <w:rsid w:val="00E946EE"/>
    <w:rsid w:val="00EF23CB"/>
    <w:rsid w:val="00F1225D"/>
    <w:rsid w:val="00F41962"/>
    <w:rsid w:val="00F4331B"/>
    <w:rsid w:val="00FA5107"/>
    <w:rsid w:val="00FC23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C9B4BB4-A48D-4010-80E9-0E5983807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Normal"/>
    <w:qFormat/>
    <w:pPr>
      <w:keepNext/>
      <w:tabs>
        <w:tab w:val="left" w:pos="2880"/>
      </w:tabs>
      <w:ind w:left="1440"/>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C171E6"/>
    <w:rPr>
      <w:rFonts w:ascii="Tahoma" w:hAnsi="Tahoma" w:cs="Tahoma"/>
      <w:sz w:val="16"/>
      <w:szCs w:val="16"/>
    </w:rPr>
  </w:style>
  <w:style w:type="paragraph" w:styleId="ListParagraph">
    <w:name w:val="List Paragraph"/>
    <w:basedOn w:val="Normal"/>
    <w:uiPriority w:val="34"/>
    <w:qFormat/>
    <w:rsid w:val="005369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0187867">
      <w:bodyDiv w:val="1"/>
      <w:marLeft w:val="0"/>
      <w:marRight w:val="0"/>
      <w:marTop w:val="0"/>
      <w:marBottom w:val="0"/>
      <w:divBdr>
        <w:top w:val="none" w:sz="0" w:space="0" w:color="auto"/>
        <w:left w:val="none" w:sz="0" w:space="0" w:color="auto"/>
        <w:bottom w:val="none" w:sz="0" w:space="0" w:color="auto"/>
        <w:right w:val="none" w:sz="0" w:space="0" w:color="auto"/>
      </w:divBdr>
      <w:divsChild>
        <w:div w:id="3958566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552</Words>
  <Characters>3150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MEMORANDUM</vt:lpstr>
    </vt:vector>
  </TitlesOfParts>
  <Company>Shinn, Laurie, Meadowcroft</Company>
  <LinksUpToDate>false</LinksUpToDate>
  <CharactersWithSpaces>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creator>Colleen</dc:creator>
  <cp:lastModifiedBy>layan almasoud</cp:lastModifiedBy>
  <cp:revision>2</cp:revision>
  <cp:lastPrinted>2010-01-12T13:58:00Z</cp:lastPrinted>
  <dcterms:created xsi:type="dcterms:W3CDTF">2019-05-01T04:38:00Z</dcterms:created>
  <dcterms:modified xsi:type="dcterms:W3CDTF">2019-05-01T04:38:00Z</dcterms:modified>
</cp:coreProperties>
</file>